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43" w:rsidRPr="00E741C6" w:rsidRDefault="00E741C6" w:rsidP="007C72D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741C6">
        <w:rPr>
          <w:rFonts w:ascii="Arial" w:hAnsi="Arial" w:cs="Arial"/>
          <w:b/>
          <w:sz w:val="32"/>
          <w:szCs w:val="32"/>
        </w:rPr>
        <w:t>RECRUITING YOUR VOLUNTEERS</w:t>
      </w:r>
    </w:p>
    <w:p w:rsidR="00783043" w:rsidRPr="00E741C6" w:rsidRDefault="00783043" w:rsidP="007C72D4">
      <w:pPr>
        <w:spacing w:after="0" w:line="240" w:lineRule="auto"/>
        <w:rPr>
          <w:rFonts w:ascii="Arial" w:hAnsi="Arial" w:cs="Arial"/>
        </w:rPr>
      </w:pPr>
    </w:p>
    <w:p w:rsidR="00957C50" w:rsidRPr="00E741C6" w:rsidRDefault="00957C50" w:rsidP="007C72D4">
      <w:pPr>
        <w:spacing w:after="0"/>
        <w:rPr>
          <w:rFonts w:ascii="Arial" w:hAnsi="Arial" w:cs="Arial"/>
        </w:rPr>
      </w:pPr>
      <w:r w:rsidRPr="00E741C6">
        <w:rPr>
          <w:rFonts w:ascii="Arial" w:hAnsi="Arial" w:cs="Arial"/>
        </w:rPr>
        <w:t>Successful recruitment is not about getting as many volunteers as possible, it</w:t>
      </w:r>
      <w:r w:rsidR="00A92790">
        <w:rPr>
          <w:rFonts w:ascii="Arial" w:hAnsi="Arial" w:cs="Arial"/>
        </w:rPr>
        <w:t xml:space="preserve"> i</w:t>
      </w:r>
      <w:r w:rsidRPr="00E741C6">
        <w:rPr>
          <w:rFonts w:ascii="Arial" w:hAnsi="Arial" w:cs="Arial"/>
        </w:rPr>
        <w:t>s about finding the right number</w:t>
      </w:r>
      <w:r w:rsidR="00D1627D">
        <w:rPr>
          <w:rFonts w:ascii="Arial" w:hAnsi="Arial" w:cs="Arial"/>
        </w:rPr>
        <w:t>,</w:t>
      </w:r>
      <w:r w:rsidRPr="00E741C6">
        <w:rPr>
          <w:rFonts w:ascii="Arial" w:hAnsi="Arial" w:cs="Arial"/>
        </w:rPr>
        <w:t xml:space="preserve"> of the right type of volunteers.  Thus, it is important to plan ahead.</w:t>
      </w:r>
    </w:p>
    <w:p w:rsidR="00957C50" w:rsidRDefault="00957C50" w:rsidP="007C72D4">
      <w:pPr>
        <w:spacing w:after="0"/>
        <w:rPr>
          <w:rFonts w:ascii="Arial" w:hAnsi="Arial" w:cs="Arial"/>
        </w:rPr>
      </w:pPr>
      <w:r w:rsidRPr="00E741C6">
        <w:rPr>
          <w:rFonts w:ascii="Arial" w:hAnsi="Arial" w:cs="Arial"/>
        </w:rPr>
        <w:t>Well-defined roles are the basis of all good recruitment efforts.  If you know what’s on offer you are more likely to follow it up.</w:t>
      </w:r>
    </w:p>
    <w:p w:rsidR="007C72D4" w:rsidRDefault="007C72D4" w:rsidP="007C72D4">
      <w:pPr>
        <w:spacing w:after="0"/>
        <w:rPr>
          <w:rFonts w:ascii="Arial" w:hAnsi="Arial" w:cs="Arial"/>
        </w:rPr>
      </w:pPr>
    </w:p>
    <w:p w:rsidR="00285D82" w:rsidRDefault="00D1627D" w:rsidP="007C72D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Who </w:t>
      </w:r>
      <w:proofErr w:type="gramStart"/>
      <w:r w:rsidR="00285D82" w:rsidRPr="00285D82">
        <w:rPr>
          <w:rFonts w:ascii="Arial" w:hAnsi="Arial" w:cs="Arial"/>
          <w:b/>
        </w:rPr>
        <w:t>To</w:t>
      </w:r>
      <w:proofErr w:type="gramEnd"/>
      <w:r w:rsidR="00285D82" w:rsidRPr="00285D82">
        <w:rPr>
          <w:rFonts w:ascii="Arial" w:hAnsi="Arial" w:cs="Arial"/>
          <w:b/>
        </w:rPr>
        <w:t xml:space="preserve"> Recruit</w:t>
      </w:r>
    </w:p>
    <w:p w:rsidR="007C72D4" w:rsidRPr="00285D82" w:rsidRDefault="007C72D4" w:rsidP="007C72D4">
      <w:pPr>
        <w:spacing w:after="0"/>
        <w:rPr>
          <w:rFonts w:ascii="Arial" w:hAnsi="Arial" w:cs="Arial"/>
          <w:b/>
        </w:rPr>
      </w:pPr>
    </w:p>
    <w:p w:rsidR="00285D82" w:rsidRPr="00285D82" w:rsidRDefault="00285D82">
      <w:pPr>
        <w:rPr>
          <w:rFonts w:ascii="Arial" w:hAnsi="Arial" w:cs="Arial"/>
        </w:rPr>
      </w:pPr>
      <w:r w:rsidRPr="00285D82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 xml:space="preserve">often </w:t>
      </w:r>
      <w:r w:rsidRPr="00285D82">
        <w:rPr>
          <w:rFonts w:ascii="Arial" w:hAnsi="Arial" w:cs="Arial"/>
        </w:rPr>
        <w:t>become your ambassadors so it is important to recruit people that are not only passionate, but will take direction, foll</w:t>
      </w:r>
      <w:r>
        <w:rPr>
          <w:rFonts w:ascii="Arial" w:hAnsi="Arial" w:cs="Arial"/>
        </w:rPr>
        <w:t xml:space="preserve">ow guidelines and represent your organisation </w:t>
      </w:r>
      <w:r w:rsidRPr="00285D82">
        <w:rPr>
          <w:rFonts w:ascii="Arial" w:hAnsi="Arial" w:cs="Arial"/>
        </w:rPr>
        <w:t>accordingly. Before accepting a volunteer, consider this checklist:</w:t>
      </w:r>
    </w:p>
    <w:p w:rsidR="00285D82" w:rsidRPr="00285D82" w:rsidRDefault="00285D82" w:rsidP="00285D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5D82">
        <w:rPr>
          <w:rFonts w:ascii="Arial" w:hAnsi="Arial" w:cs="Arial"/>
        </w:rPr>
        <w:t xml:space="preserve">Why do they want to volunteer? </w:t>
      </w:r>
    </w:p>
    <w:p w:rsidR="00285D82" w:rsidRPr="00285D82" w:rsidRDefault="00285D82" w:rsidP="00285D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5D82">
        <w:rPr>
          <w:rFonts w:ascii="Arial" w:hAnsi="Arial" w:cs="Arial"/>
        </w:rPr>
        <w:t xml:space="preserve">Will they add benefit to the </w:t>
      </w:r>
      <w:r w:rsidR="00D1627D">
        <w:rPr>
          <w:rFonts w:ascii="Arial" w:hAnsi="Arial" w:cs="Arial"/>
        </w:rPr>
        <w:t>organis</w:t>
      </w:r>
      <w:r>
        <w:rPr>
          <w:rFonts w:ascii="Arial" w:hAnsi="Arial" w:cs="Arial"/>
        </w:rPr>
        <w:t>ation</w:t>
      </w:r>
      <w:r w:rsidRPr="00285D82">
        <w:rPr>
          <w:rFonts w:ascii="Arial" w:hAnsi="Arial" w:cs="Arial"/>
        </w:rPr>
        <w:t xml:space="preserve">? </w:t>
      </w:r>
    </w:p>
    <w:p w:rsidR="00285D82" w:rsidRPr="00285D82" w:rsidRDefault="00285D82" w:rsidP="00285D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5D82">
        <w:rPr>
          <w:rFonts w:ascii="Arial" w:hAnsi="Arial" w:cs="Arial"/>
        </w:rPr>
        <w:t xml:space="preserve">Are they committed to volunteering? </w:t>
      </w:r>
    </w:p>
    <w:p w:rsidR="00285D82" w:rsidRPr="00285D82" w:rsidRDefault="00285D82" w:rsidP="00285D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5D82">
        <w:rPr>
          <w:rFonts w:ascii="Arial" w:hAnsi="Arial" w:cs="Arial"/>
        </w:rPr>
        <w:t xml:space="preserve">Do they meet the criteria of the volunteer position they are applying for? </w:t>
      </w:r>
    </w:p>
    <w:p w:rsidR="00285D82" w:rsidRPr="00285D82" w:rsidRDefault="00285D82" w:rsidP="00285D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5D82">
        <w:rPr>
          <w:rFonts w:ascii="Arial" w:hAnsi="Arial" w:cs="Arial"/>
        </w:rPr>
        <w:t>Are the</w:t>
      </w:r>
      <w:r w:rsidR="00D1627D">
        <w:rPr>
          <w:rFonts w:ascii="Arial" w:hAnsi="Arial" w:cs="Arial"/>
        </w:rPr>
        <w:t>y</w:t>
      </w:r>
      <w:r w:rsidRPr="00285D82">
        <w:rPr>
          <w:rFonts w:ascii="Arial" w:hAnsi="Arial" w:cs="Arial"/>
        </w:rPr>
        <w:t xml:space="preserve"> available for the required shifts/time commitments? </w:t>
      </w:r>
    </w:p>
    <w:p w:rsidR="00285D82" w:rsidRPr="00285D82" w:rsidRDefault="00285D82" w:rsidP="00285D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5D82">
        <w:rPr>
          <w:rFonts w:ascii="Arial" w:hAnsi="Arial" w:cs="Arial"/>
        </w:rPr>
        <w:t xml:space="preserve">Do they have the skills and experience necessary for the role? If not, is there another role they could fill? </w:t>
      </w:r>
    </w:p>
    <w:p w:rsidR="00285D82" w:rsidRPr="00285D82" w:rsidRDefault="00285D82" w:rsidP="00285D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5D82">
        <w:rPr>
          <w:rFonts w:ascii="Arial" w:hAnsi="Arial" w:cs="Arial"/>
        </w:rPr>
        <w:t>Are they aware of the tasks required of the role?</w:t>
      </w:r>
    </w:p>
    <w:p w:rsidR="00285D82" w:rsidRDefault="00285D82">
      <w:pPr>
        <w:rPr>
          <w:rFonts w:ascii="Arial" w:hAnsi="Arial" w:cs="Arial"/>
          <w:b/>
        </w:rPr>
      </w:pPr>
    </w:p>
    <w:p w:rsidR="00285D82" w:rsidRPr="00285D82" w:rsidRDefault="00285D82">
      <w:pPr>
        <w:rPr>
          <w:rFonts w:ascii="Arial" w:hAnsi="Arial" w:cs="Arial"/>
          <w:b/>
        </w:rPr>
      </w:pPr>
      <w:r w:rsidRPr="00285D82">
        <w:rPr>
          <w:rFonts w:ascii="Arial" w:hAnsi="Arial" w:cs="Arial"/>
          <w:b/>
        </w:rPr>
        <w:t>Overcoming Barriers</w:t>
      </w:r>
    </w:p>
    <w:p w:rsidR="00957C50" w:rsidRPr="00E741C6" w:rsidRDefault="00957C50">
      <w:pPr>
        <w:rPr>
          <w:rFonts w:ascii="Arial" w:hAnsi="Arial" w:cs="Arial"/>
        </w:rPr>
      </w:pPr>
      <w:r w:rsidRPr="00E741C6">
        <w:rPr>
          <w:rFonts w:ascii="Arial" w:hAnsi="Arial" w:cs="Arial"/>
        </w:rPr>
        <w:t>One of the key barriers to volunteering is a fear of the commitment that would be expected.  Giving people the change to try out volunteering, have a chat with an existing volunteer or someone from the organisation can be useful ways of letting people try volunteering before they commit.</w:t>
      </w:r>
    </w:p>
    <w:p w:rsidR="00957C50" w:rsidRPr="00E741C6" w:rsidRDefault="00957C50">
      <w:pPr>
        <w:rPr>
          <w:rFonts w:ascii="Arial" w:hAnsi="Arial" w:cs="Arial"/>
        </w:rPr>
      </w:pPr>
      <w:r w:rsidRPr="00E741C6">
        <w:rPr>
          <w:rFonts w:ascii="Arial" w:hAnsi="Arial" w:cs="Arial"/>
        </w:rPr>
        <w:t>Less formal language to describe the recruitment process can be more attractive to potential volunteers i.e. registration form rather than application form, informal chat rather than interview.</w:t>
      </w:r>
    </w:p>
    <w:p w:rsidR="00957C50" w:rsidRPr="00E741C6" w:rsidRDefault="00285D82">
      <w:pPr>
        <w:rPr>
          <w:rFonts w:ascii="Arial" w:hAnsi="Arial" w:cs="Arial"/>
        </w:rPr>
      </w:pPr>
      <w:r>
        <w:rPr>
          <w:rFonts w:ascii="Arial" w:hAnsi="Arial" w:cs="Arial"/>
        </w:rPr>
        <w:t>Below are some of the barriers and possible solutions: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6C6B" w:rsidRPr="00285D82" w:rsidTr="00285D82">
        <w:trPr>
          <w:tblHeader/>
        </w:trPr>
        <w:tc>
          <w:tcPr>
            <w:tcW w:w="4621" w:type="dxa"/>
            <w:shd w:val="pct10" w:color="auto" w:fill="auto"/>
          </w:tcPr>
          <w:p w:rsidR="00D16C6B" w:rsidRPr="00285D82" w:rsidRDefault="00D16C6B">
            <w:pPr>
              <w:rPr>
                <w:rFonts w:ascii="Arial" w:hAnsi="Arial" w:cs="Arial"/>
                <w:b/>
              </w:rPr>
            </w:pPr>
            <w:r w:rsidRPr="00285D82">
              <w:rPr>
                <w:rFonts w:ascii="Arial" w:hAnsi="Arial" w:cs="Arial"/>
                <w:b/>
              </w:rPr>
              <w:t>Barrier</w:t>
            </w:r>
          </w:p>
        </w:tc>
        <w:tc>
          <w:tcPr>
            <w:tcW w:w="4621" w:type="dxa"/>
            <w:shd w:val="pct10" w:color="auto" w:fill="auto"/>
          </w:tcPr>
          <w:p w:rsidR="00D16C6B" w:rsidRPr="00285D82" w:rsidRDefault="00D16C6B">
            <w:pPr>
              <w:rPr>
                <w:rFonts w:ascii="Arial" w:hAnsi="Arial" w:cs="Arial"/>
                <w:b/>
              </w:rPr>
            </w:pPr>
            <w:r w:rsidRPr="00285D82">
              <w:rPr>
                <w:rFonts w:ascii="Arial" w:hAnsi="Arial" w:cs="Arial"/>
                <w:b/>
              </w:rPr>
              <w:t>Solutions</w:t>
            </w:r>
          </w:p>
        </w:tc>
      </w:tr>
      <w:tr w:rsidR="00D16C6B" w:rsidRPr="00E741C6" w:rsidTr="00D16C6B">
        <w:tc>
          <w:tcPr>
            <w:tcW w:w="4621" w:type="dxa"/>
          </w:tcPr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Lack of knowledge about your organisation</w:t>
            </w:r>
          </w:p>
        </w:tc>
        <w:tc>
          <w:tcPr>
            <w:tcW w:w="4621" w:type="dxa"/>
          </w:tcPr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Lots of positive publicity</w:t>
            </w:r>
          </w:p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Make information available in a variety of formats</w:t>
            </w:r>
          </w:p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Arrange open days/visits</w:t>
            </w:r>
          </w:p>
          <w:p w:rsidR="00D16C6B" w:rsidRPr="00E741C6" w:rsidRDefault="00D16C6B">
            <w:pPr>
              <w:rPr>
                <w:rFonts w:ascii="Arial" w:hAnsi="Arial" w:cs="Arial"/>
              </w:rPr>
            </w:pPr>
          </w:p>
        </w:tc>
      </w:tr>
      <w:tr w:rsidR="00D16C6B" w:rsidRPr="00E741C6" w:rsidTr="00D16C6B">
        <w:tc>
          <w:tcPr>
            <w:tcW w:w="4621" w:type="dxa"/>
          </w:tcPr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Lack of experience of volunteering</w:t>
            </w:r>
          </w:p>
        </w:tc>
        <w:tc>
          <w:tcPr>
            <w:tcW w:w="4621" w:type="dxa"/>
          </w:tcPr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Offer  ‘settling in’ period</w:t>
            </w:r>
          </w:p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Provide training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</w:p>
        </w:tc>
      </w:tr>
      <w:tr w:rsidR="00D16C6B" w:rsidRPr="00E741C6" w:rsidTr="00D16C6B">
        <w:tc>
          <w:tcPr>
            <w:tcW w:w="4621" w:type="dxa"/>
          </w:tcPr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 xml:space="preserve">Previous negative experience(s) of </w:t>
            </w:r>
            <w:r w:rsidRPr="00E741C6">
              <w:rPr>
                <w:rFonts w:ascii="Arial" w:hAnsi="Arial" w:cs="Arial"/>
              </w:rPr>
              <w:lastRenderedPageBreak/>
              <w:t>volunteering</w:t>
            </w:r>
          </w:p>
        </w:tc>
        <w:tc>
          <w:tcPr>
            <w:tcW w:w="4621" w:type="dxa"/>
          </w:tcPr>
          <w:p w:rsidR="00D16C6B" w:rsidRPr="00E741C6" w:rsidRDefault="00D16C6B" w:rsidP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lastRenderedPageBreak/>
              <w:t>Emphasis benefits of volunteering</w:t>
            </w:r>
          </w:p>
          <w:p w:rsidR="00D16C6B" w:rsidRPr="00E741C6" w:rsidRDefault="00D16C6B" w:rsidP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lastRenderedPageBreak/>
              <w:t>Expl</w:t>
            </w:r>
            <w:r w:rsidR="00D1627D">
              <w:rPr>
                <w:rFonts w:ascii="Arial" w:hAnsi="Arial" w:cs="Arial"/>
              </w:rPr>
              <w:t>ain how volunteer involvement is</w:t>
            </w:r>
            <w:r w:rsidRPr="00E741C6">
              <w:rPr>
                <w:rFonts w:ascii="Arial" w:hAnsi="Arial" w:cs="Arial"/>
              </w:rPr>
              <w:t xml:space="preserve"> organised and managed in your organisation</w:t>
            </w:r>
          </w:p>
          <w:p w:rsidR="00CE396F" w:rsidRPr="00E741C6" w:rsidRDefault="00CE396F" w:rsidP="00D16C6B">
            <w:pPr>
              <w:rPr>
                <w:rFonts w:ascii="Arial" w:hAnsi="Arial" w:cs="Arial"/>
              </w:rPr>
            </w:pPr>
          </w:p>
        </w:tc>
      </w:tr>
      <w:tr w:rsidR="00D16C6B" w:rsidRPr="00E741C6" w:rsidTr="00D16C6B">
        <w:tc>
          <w:tcPr>
            <w:tcW w:w="4621" w:type="dxa"/>
          </w:tcPr>
          <w:p w:rsidR="00D16C6B" w:rsidRPr="00E741C6" w:rsidRDefault="00D16C6B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lastRenderedPageBreak/>
              <w:t xml:space="preserve">Fear of over </w:t>
            </w:r>
            <w:r w:rsidR="00CE396F" w:rsidRPr="00E741C6">
              <w:rPr>
                <w:rFonts w:ascii="Arial" w:hAnsi="Arial" w:cs="Arial"/>
              </w:rPr>
              <w:t>commitment</w:t>
            </w:r>
          </w:p>
        </w:tc>
        <w:tc>
          <w:tcPr>
            <w:tcW w:w="4621" w:type="dxa"/>
          </w:tcPr>
          <w:p w:rsidR="00D16C6B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Indicate length of commitment required in recruitment materials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Offer short-term and/or ‘taster’ assignments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Offer a ‘settling in’ period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</w:p>
        </w:tc>
      </w:tr>
      <w:tr w:rsidR="00D16C6B" w:rsidRPr="00E741C6" w:rsidTr="00D16C6B">
        <w:tc>
          <w:tcPr>
            <w:tcW w:w="4621" w:type="dxa"/>
          </w:tcPr>
          <w:p w:rsidR="00D16C6B" w:rsidRPr="00E741C6" w:rsidRDefault="00D16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</w:t>
            </w:r>
            <w:r w:rsidR="00CE396F" w:rsidRPr="00E741C6">
              <w:rPr>
                <w:rFonts w:ascii="Arial" w:hAnsi="Arial" w:cs="Arial"/>
              </w:rPr>
              <w:t xml:space="preserve"> for dependants</w:t>
            </w:r>
          </w:p>
        </w:tc>
        <w:tc>
          <w:tcPr>
            <w:tcW w:w="4621" w:type="dxa"/>
          </w:tcPr>
          <w:p w:rsidR="00D16C6B" w:rsidRPr="00E741C6" w:rsidRDefault="00CE396F" w:rsidP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Provision of day</w:t>
            </w:r>
            <w:r w:rsidR="00D1627D">
              <w:rPr>
                <w:rFonts w:ascii="Arial" w:hAnsi="Arial" w:cs="Arial"/>
              </w:rPr>
              <w:t xml:space="preserve"> </w:t>
            </w:r>
            <w:r w:rsidRPr="00E741C6">
              <w:rPr>
                <w:rFonts w:ascii="Arial" w:hAnsi="Arial" w:cs="Arial"/>
              </w:rPr>
              <w:t>care facilities</w:t>
            </w:r>
          </w:p>
          <w:p w:rsidR="00CE396F" w:rsidRPr="00E741C6" w:rsidRDefault="00CE396F" w:rsidP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Advice/information</w:t>
            </w:r>
          </w:p>
          <w:p w:rsidR="00CE396F" w:rsidRPr="00E741C6" w:rsidRDefault="00CE396F" w:rsidP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Offer to reimburse such expenses</w:t>
            </w:r>
          </w:p>
          <w:p w:rsidR="00CE396F" w:rsidRPr="00E741C6" w:rsidRDefault="00CE396F" w:rsidP="00CE396F">
            <w:pPr>
              <w:rPr>
                <w:rFonts w:ascii="Arial" w:hAnsi="Arial" w:cs="Arial"/>
              </w:rPr>
            </w:pPr>
          </w:p>
        </w:tc>
      </w:tr>
      <w:tr w:rsidR="00D16C6B" w:rsidRPr="00E741C6" w:rsidTr="00D16C6B">
        <w:tc>
          <w:tcPr>
            <w:tcW w:w="4621" w:type="dxa"/>
          </w:tcPr>
          <w:p w:rsidR="00D16C6B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Don’t know anyone that volunteers / don’t think they have skills to offer</w:t>
            </w:r>
          </w:p>
        </w:tc>
        <w:tc>
          <w:tcPr>
            <w:tcW w:w="4621" w:type="dxa"/>
          </w:tcPr>
          <w:p w:rsidR="00D16C6B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Specifically target marketing messages to under-represented groups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Set out skills, experience, aptitudes that you are looking for.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</w:p>
        </w:tc>
      </w:tr>
      <w:tr w:rsidR="00CE396F" w:rsidRPr="00E741C6" w:rsidTr="00D16C6B"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Difficulties with timing or transport</w:t>
            </w:r>
          </w:p>
        </w:tc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Organise transport options e.g. car pools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Build in greater flexibility to roles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</w:p>
        </w:tc>
      </w:tr>
      <w:tr w:rsidR="00CE396F" w:rsidRPr="00E741C6" w:rsidTr="00D16C6B"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Can’t afford to volunteer</w:t>
            </w:r>
          </w:p>
        </w:tc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Reimburse out-of-pocket expenses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</w:p>
        </w:tc>
      </w:tr>
      <w:tr w:rsidR="00CE396F" w:rsidRPr="00E741C6" w:rsidTr="00D16C6B"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Problems with physical or cultural access</w:t>
            </w:r>
          </w:p>
        </w:tc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Improve physical access to premise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Offer voluntary work at other locations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Target excluded groups in recruitment campaigns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</w:p>
        </w:tc>
      </w:tr>
      <w:tr w:rsidR="00CE396F" w:rsidRPr="00E741C6" w:rsidTr="00D16C6B"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Fear of discriminations</w:t>
            </w:r>
          </w:p>
        </w:tc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Implement equal opportunities and harassment policies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Use targeted marketing at under-represented groups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</w:p>
        </w:tc>
      </w:tr>
      <w:tr w:rsidR="00CE396F" w:rsidRPr="00E741C6" w:rsidTr="00D16C6B"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Not wanting to work on own</w:t>
            </w:r>
          </w:p>
        </w:tc>
        <w:tc>
          <w:tcPr>
            <w:tcW w:w="4621" w:type="dxa"/>
          </w:tcPr>
          <w:p w:rsidR="00CE396F" w:rsidRPr="00E741C6" w:rsidRDefault="00CE396F">
            <w:pPr>
              <w:rPr>
                <w:rFonts w:ascii="Arial" w:hAnsi="Arial" w:cs="Arial"/>
              </w:rPr>
            </w:pPr>
            <w:r w:rsidRPr="00E741C6">
              <w:rPr>
                <w:rFonts w:ascii="Arial" w:hAnsi="Arial" w:cs="Arial"/>
              </w:rPr>
              <w:t>Create opportunities to work in pairs or groups</w:t>
            </w:r>
          </w:p>
          <w:p w:rsidR="00CE396F" w:rsidRPr="00E741C6" w:rsidRDefault="00CE396F">
            <w:pPr>
              <w:rPr>
                <w:rFonts w:ascii="Arial" w:hAnsi="Arial" w:cs="Arial"/>
              </w:rPr>
            </w:pPr>
          </w:p>
        </w:tc>
      </w:tr>
    </w:tbl>
    <w:p w:rsidR="00CE396F" w:rsidRPr="00E741C6" w:rsidRDefault="00CE396F" w:rsidP="00CE396F">
      <w:pPr>
        <w:rPr>
          <w:rFonts w:ascii="Arial" w:hAnsi="Arial" w:cs="Arial"/>
          <w:i/>
        </w:rPr>
      </w:pPr>
      <w:proofErr w:type="gramStart"/>
      <w:r w:rsidRPr="00E741C6">
        <w:rPr>
          <w:rFonts w:ascii="Arial" w:hAnsi="Arial" w:cs="Arial"/>
          <w:i/>
        </w:rPr>
        <w:t>Source :</w:t>
      </w:r>
      <w:proofErr w:type="gramEnd"/>
      <w:r w:rsidRPr="00E741C6">
        <w:rPr>
          <w:rFonts w:ascii="Arial" w:hAnsi="Arial" w:cs="Arial"/>
          <w:i/>
        </w:rPr>
        <w:t xml:space="preserve"> </w:t>
      </w:r>
      <w:proofErr w:type="spellStart"/>
      <w:r w:rsidRPr="00E741C6">
        <w:rPr>
          <w:rFonts w:ascii="Arial" w:hAnsi="Arial" w:cs="Arial"/>
          <w:i/>
        </w:rPr>
        <w:t>VolunteerNow</w:t>
      </w:r>
      <w:proofErr w:type="spellEnd"/>
      <w:r w:rsidRPr="00E741C6">
        <w:rPr>
          <w:rFonts w:ascii="Arial" w:hAnsi="Arial" w:cs="Arial"/>
          <w:i/>
        </w:rPr>
        <w:t xml:space="preserve"> As Good as They Give Workbook Two – Attracting and Selecting Volunteers</w:t>
      </w:r>
    </w:p>
    <w:p w:rsidR="00957C50" w:rsidRPr="00E741C6" w:rsidRDefault="00957C50">
      <w:pPr>
        <w:rPr>
          <w:rFonts w:ascii="Arial" w:hAnsi="Arial" w:cs="Arial"/>
        </w:rPr>
      </w:pPr>
    </w:p>
    <w:p w:rsidR="00957C50" w:rsidRPr="00E741C6" w:rsidRDefault="00957C50">
      <w:pPr>
        <w:rPr>
          <w:rFonts w:ascii="Arial" w:hAnsi="Arial" w:cs="Arial"/>
        </w:rPr>
      </w:pPr>
      <w:proofErr w:type="gramStart"/>
      <w:r w:rsidRPr="00E741C6">
        <w:rPr>
          <w:rFonts w:ascii="Arial" w:hAnsi="Arial" w:cs="Arial"/>
        </w:rPr>
        <w:t>References :</w:t>
      </w:r>
      <w:proofErr w:type="gramEnd"/>
    </w:p>
    <w:p w:rsidR="00957C50" w:rsidRPr="00E741C6" w:rsidRDefault="00957C50" w:rsidP="00957C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41C6">
        <w:rPr>
          <w:rFonts w:ascii="Arial" w:hAnsi="Arial" w:cs="Arial"/>
        </w:rPr>
        <w:t>As Good as They Give Workbook Two – Attracting and Selecting Volunteers</w:t>
      </w:r>
    </w:p>
    <w:sectPr w:rsidR="00957C50" w:rsidRPr="00E741C6" w:rsidSect="0008602A">
      <w:headerReference w:type="default" r:id="rId8"/>
      <w:footerReference w:type="default" r:id="rId9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C6" w:rsidRDefault="00E741C6" w:rsidP="00E741C6">
      <w:pPr>
        <w:spacing w:after="0" w:line="240" w:lineRule="auto"/>
      </w:pPr>
      <w:r>
        <w:separator/>
      </w:r>
    </w:p>
  </w:endnote>
  <w:endnote w:type="continuationSeparator" w:id="0">
    <w:p w:rsidR="00E741C6" w:rsidRDefault="00E741C6" w:rsidP="00E7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C6" w:rsidRDefault="00E741C6">
    <w:pPr>
      <w:pStyle w:val="Footer"/>
      <w:jc w:val="right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E741C6" w:rsidRPr="00E741C6" w:rsidTr="00E741C6">
      <w:tc>
        <w:tcPr>
          <w:tcW w:w="9242" w:type="dxa"/>
          <w:tcMar>
            <w:top w:w="85" w:type="dxa"/>
            <w:bottom w:w="85" w:type="dxa"/>
          </w:tcMar>
        </w:tcPr>
        <w:p w:rsidR="00600A6B" w:rsidRDefault="00600A6B" w:rsidP="00600A6B">
          <w:pPr>
            <w:pStyle w:val="Footer"/>
            <w:pBdr>
              <w:top w:val="single" w:sz="4" w:space="1" w:color="auto"/>
            </w:pBdr>
            <w:tabs>
              <w:tab w:val="clear" w:pos="4513"/>
              <w:tab w:val="left" w:pos="4253"/>
            </w:tabs>
            <w:rPr>
              <w:rFonts w:ascii="Arial" w:hAnsi="Arial" w:cs="Arial"/>
              <w:sz w:val="20"/>
              <w:szCs w:val="24"/>
            </w:rPr>
          </w:pPr>
          <w:proofErr w:type="spellStart"/>
          <w:r>
            <w:rPr>
              <w:rFonts w:ascii="Arial" w:hAnsi="Arial" w:cs="Arial"/>
              <w:sz w:val="20"/>
              <w:szCs w:val="24"/>
            </w:rPr>
            <w:t>HandsUp</w:t>
          </w:r>
          <w:proofErr w:type="spellEnd"/>
          <w:r>
            <w:rPr>
              <w:rFonts w:ascii="Arial" w:hAnsi="Arial" w:cs="Arial"/>
              <w:sz w:val="20"/>
              <w:szCs w:val="24"/>
            </w:rPr>
            <w:t xml:space="preserve"> Volunteer Management Toolkit</w:t>
          </w:r>
          <w:r>
            <w:rPr>
              <w:rFonts w:ascii="Arial" w:hAnsi="Arial" w:cs="Arial"/>
              <w:sz w:val="20"/>
              <w:szCs w:val="24"/>
            </w:rPr>
            <w:tab/>
          </w:r>
          <w:proofErr w:type="spellStart"/>
          <w:r>
            <w:rPr>
              <w:rFonts w:ascii="Arial" w:hAnsi="Arial" w:cs="Arial"/>
              <w:sz w:val="20"/>
              <w:szCs w:val="24"/>
            </w:rPr>
            <w:t>v</w:t>
          </w:r>
          <w:r w:rsidR="0008602A">
            <w:rPr>
              <w:rFonts w:ascii="Arial" w:hAnsi="Arial" w:cs="Arial"/>
              <w:sz w:val="20"/>
              <w:szCs w:val="24"/>
            </w:rPr>
            <w:t>1.</w:t>
          </w:r>
          <w:r>
            <w:rPr>
              <w:rFonts w:ascii="Arial" w:hAnsi="Arial" w:cs="Arial"/>
              <w:sz w:val="20"/>
              <w:szCs w:val="24"/>
            </w:rPr>
            <w:t>0</w:t>
          </w:r>
          <w:proofErr w:type="spellEnd"/>
          <w:sdt>
            <w:sdtPr>
              <w:rPr>
                <w:rFonts w:ascii="Arial" w:hAnsi="Arial" w:cs="Arial"/>
                <w:sz w:val="20"/>
                <w:szCs w:val="24"/>
              </w:rPr>
              <w:id w:val="68756785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4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197F6A">
                    <w:rPr>
                      <w:rFonts w:ascii="Arial" w:hAnsi="Arial" w:cs="Arial"/>
                      <w:sz w:val="20"/>
                      <w:szCs w:val="24"/>
                    </w:rPr>
                    <w:tab/>
                    <w:t xml:space="preserve">Page 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instrText xml:space="preserve"> PAGE </w:instrTex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E46DE2">
                    <w:rPr>
                      <w:rFonts w:ascii="Arial" w:hAnsi="Arial" w:cs="Arial"/>
                      <w:bCs/>
                      <w:noProof/>
                      <w:sz w:val="20"/>
                      <w:szCs w:val="24"/>
                    </w:rPr>
                    <w:t>1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  <w:r w:rsidRPr="00197F6A">
                    <w:rPr>
                      <w:rFonts w:ascii="Arial" w:hAnsi="Arial" w:cs="Arial"/>
                      <w:sz w:val="20"/>
                      <w:szCs w:val="24"/>
                    </w:rPr>
                    <w:t xml:space="preserve"> of 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begin"/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instrText xml:space="preserve"> NUMPAGES  </w:instrTex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separate"/>
                  </w:r>
                  <w:r w:rsidR="00E46DE2">
                    <w:rPr>
                      <w:rFonts w:ascii="Arial" w:hAnsi="Arial" w:cs="Arial"/>
                      <w:bCs/>
                      <w:noProof/>
                      <w:sz w:val="20"/>
                      <w:szCs w:val="24"/>
                    </w:rPr>
                    <w:t>2</w:t>
                  </w:r>
                  <w:r w:rsidRPr="00197F6A">
                    <w:rPr>
                      <w:rFonts w:ascii="Arial" w:hAnsi="Arial" w:cs="Arial"/>
                      <w:bCs/>
                      <w:sz w:val="20"/>
                      <w:szCs w:val="24"/>
                    </w:rPr>
                    <w:fldChar w:fldCharType="end"/>
                  </w:r>
                </w:sdtContent>
              </w:sdt>
            </w:sdtContent>
          </w:sdt>
        </w:p>
        <w:p w:rsidR="00E741C6" w:rsidRPr="00600A6B" w:rsidRDefault="00600A6B" w:rsidP="00600A6B">
          <w:pPr>
            <w:pStyle w:val="Footer"/>
            <w:pBdr>
              <w:top w:val="single" w:sz="4" w:space="1" w:color="auto"/>
            </w:pBdr>
            <w:tabs>
              <w:tab w:val="clear" w:pos="4513"/>
              <w:tab w:val="left" w:pos="4253"/>
            </w:tabs>
            <w:rPr>
              <w:rFonts w:ascii="Arial" w:hAnsi="Arial" w:cs="Arial"/>
              <w:bCs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Recruiting Your Volunteers</w:t>
          </w:r>
        </w:p>
      </w:tc>
    </w:tr>
  </w:tbl>
  <w:p w:rsidR="00E741C6" w:rsidRDefault="00E741C6" w:rsidP="00600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C6" w:rsidRDefault="00E741C6" w:rsidP="00E741C6">
      <w:pPr>
        <w:spacing w:after="0" w:line="240" w:lineRule="auto"/>
      </w:pPr>
      <w:r>
        <w:separator/>
      </w:r>
    </w:p>
  </w:footnote>
  <w:footnote w:type="continuationSeparator" w:id="0">
    <w:p w:rsidR="00E741C6" w:rsidRDefault="00E741C6" w:rsidP="00E7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BE1464" w:rsidTr="00BE1464">
      <w:tc>
        <w:tcPr>
          <w:tcW w:w="9242" w:type="dxa"/>
        </w:tcPr>
        <w:p w:rsidR="00BE1464" w:rsidRDefault="00BE1464" w:rsidP="00BE1464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19DE0FD" wp14:editId="20CCF48C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1464" w:rsidRDefault="00BE1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5CE"/>
    <w:multiLevelType w:val="hybridMultilevel"/>
    <w:tmpl w:val="750AA360"/>
    <w:lvl w:ilvl="0" w:tplc="E176F81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5E35AFB"/>
    <w:multiLevelType w:val="hybridMultilevel"/>
    <w:tmpl w:val="B5A87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1034"/>
    <w:multiLevelType w:val="hybridMultilevel"/>
    <w:tmpl w:val="829CF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0"/>
    <w:rsid w:val="0008602A"/>
    <w:rsid w:val="00285D82"/>
    <w:rsid w:val="005D0BD7"/>
    <w:rsid w:val="00600A6B"/>
    <w:rsid w:val="00783043"/>
    <w:rsid w:val="007C72D4"/>
    <w:rsid w:val="00957C50"/>
    <w:rsid w:val="00A92790"/>
    <w:rsid w:val="00BE1464"/>
    <w:rsid w:val="00CE396F"/>
    <w:rsid w:val="00D1627D"/>
    <w:rsid w:val="00D16C6B"/>
    <w:rsid w:val="00E43ACD"/>
    <w:rsid w:val="00E46DE2"/>
    <w:rsid w:val="00E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50"/>
    <w:pPr>
      <w:ind w:left="720"/>
      <w:contextualSpacing/>
    </w:pPr>
  </w:style>
  <w:style w:type="table" w:styleId="TableGrid">
    <w:name w:val="Table Grid"/>
    <w:basedOn w:val="TableNormal"/>
    <w:uiPriority w:val="59"/>
    <w:rsid w:val="00D1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C6"/>
  </w:style>
  <w:style w:type="paragraph" w:styleId="Footer">
    <w:name w:val="footer"/>
    <w:basedOn w:val="Normal"/>
    <w:link w:val="FooterChar"/>
    <w:uiPriority w:val="99"/>
    <w:unhideWhenUsed/>
    <w:rsid w:val="00E7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C6"/>
  </w:style>
  <w:style w:type="paragraph" w:styleId="BalloonText">
    <w:name w:val="Balloon Text"/>
    <w:basedOn w:val="Normal"/>
    <w:link w:val="BalloonTextChar"/>
    <w:uiPriority w:val="99"/>
    <w:semiHidden/>
    <w:unhideWhenUsed/>
    <w:rsid w:val="00B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50"/>
    <w:pPr>
      <w:ind w:left="720"/>
      <w:contextualSpacing/>
    </w:pPr>
  </w:style>
  <w:style w:type="table" w:styleId="TableGrid">
    <w:name w:val="Table Grid"/>
    <w:basedOn w:val="TableNormal"/>
    <w:uiPriority w:val="59"/>
    <w:rsid w:val="00D1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C6"/>
  </w:style>
  <w:style w:type="paragraph" w:styleId="Footer">
    <w:name w:val="footer"/>
    <w:basedOn w:val="Normal"/>
    <w:link w:val="FooterChar"/>
    <w:uiPriority w:val="99"/>
    <w:unhideWhenUsed/>
    <w:rsid w:val="00E74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C6"/>
  </w:style>
  <w:style w:type="paragraph" w:styleId="BalloonText">
    <w:name w:val="Balloon Text"/>
    <w:basedOn w:val="Normal"/>
    <w:link w:val="BalloonTextChar"/>
    <w:uiPriority w:val="99"/>
    <w:semiHidden/>
    <w:unhideWhenUsed/>
    <w:rsid w:val="00B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2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476</Words>
  <Characters>2704</Characters>
  <Application>Microsoft Office Word</Application>
  <DocSecurity>0</DocSecurity>
  <Lines>94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Recruiting Your Volunteers</vt:lpstr>
    </vt:vector>
  </TitlesOfParts>
  <Manager>Helen.Taylor@latrobe.vic.gov.au</Manager>
  <Company>HandsUp Latrobe Valley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Recruiting Your Volunteers</dc:title>
  <dc:creator>Sharlene Giddens</dc:creator>
  <cp:keywords>Volunteer Management Toolkit</cp:keywords>
  <cp:lastModifiedBy>Sharlene Giddens</cp:lastModifiedBy>
  <cp:revision>12</cp:revision>
  <cp:lastPrinted>2019-08-23T06:09:00Z</cp:lastPrinted>
  <dcterms:created xsi:type="dcterms:W3CDTF">2019-06-19T00:34:00Z</dcterms:created>
  <dcterms:modified xsi:type="dcterms:W3CDTF">2019-08-23T06:09:00Z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